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708188</wp:posOffset>
            </wp:positionH>
            <wp:positionV relativeFrom="paragraph">
              <wp:posOffset>19050</wp:posOffset>
            </wp:positionV>
            <wp:extent cx="4310113" cy="140216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0113" cy="1402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Trustees are responsible for controlling the management, administration and strategic direction of Zephyr’s, a growing charity looking to develop a strong leadership team to take us to the next level.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Main responsibilities: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Zephyr’s is carrying out its purposes for the public benefit including actively contribute to setting the strategic direction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Comply with Zephyr’s governing document and the law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Act in Zephyr's best interests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Manage Zephyr’s resources responsibly including monitoring the financial position and clear lines of accountability for financial management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Act with reasonable care and skill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Zephyr’s is accountable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Take responsibility for own learning and development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Confidentiality of sensitive and confidential information is maintained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2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Act as an advocate for Zephyr’s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20" w:lineRule="auto"/>
        <w:ind w:left="0" w:firstLine="0"/>
        <w:rPr/>
      </w:pPr>
      <w:r w:rsidDel="00000000" w:rsidR="00000000" w:rsidRPr="00000000">
        <w:rPr>
          <w:rtl w:val="0"/>
        </w:rPr>
        <w:t xml:space="preserve">A Zephyr’s trustee is someone who: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Enthusiastic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Innovative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Reliable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able to support and offer strong leadership and management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confident making difficult decisions about potentially uncomfortable or emotion subjects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able to multi-task and make a strong contribution to the Board by being able to share and implement energy, knowledge, expertise and life experiences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willing and able to actively contribute to all discussions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Has Good numeracy skills and the ability to understand Zephyr’s financial accounts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Will accept and understand the responsibilities and liabilities as a trustee and employer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20" w:lineRule="auto"/>
        <w:ind w:left="720" w:hanging="360"/>
        <w:rPr/>
      </w:pPr>
      <w:r w:rsidDel="00000000" w:rsidR="00000000" w:rsidRPr="00000000">
        <w:rPr>
          <w:rtl w:val="0"/>
        </w:rPr>
        <w:t xml:space="preserve">Will act in the best interests of Zephyr’s at all times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Estimated time commitment of two meetings per quarter, usually in the evening, and flexible in providing additional support hours as required.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Trustees must be aged 18+.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Eligible to work in the UK even though this is a volunteer role.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Location independent but within reasonable travelling distance of Nottingham.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135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